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A4" w:rsidRDefault="003251A4" w:rsidP="00C05F41">
      <w:pPr>
        <w:ind w:left="708"/>
        <w:jc w:val="center"/>
        <w:rPr>
          <w:b/>
          <w:sz w:val="24"/>
          <w:szCs w:val="24"/>
        </w:rPr>
      </w:pPr>
      <w:r>
        <w:rPr>
          <w:b/>
          <w:sz w:val="24"/>
          <w:szCs w:val="24"/>
        </w:rPr>
        <w:t>SİRKÜLER</w:t>
      </w:r>
    </w:p>
    <w:p w:rsidR="003251A4" w:rsidRDefault="003251A4" w:rsidP="003251A4">
      <w:pPr>
        <w:tabs>
          <w:tab w:val="left" w:pos="930"/>
        </w:tabs>
        <w:rPr>
          <w:b/>
          <w:sz w:val="24"/>
          <w:szCs w:val="24"/>
        </w:rPr>
      </w:pPr>
      <w:r>
        <w:rPr>
          <w:b/>
          <w:sz w:val="24"/>
          <w:szCs w:val="24"/>
        </w:rPr>
        <w:tab/>
      </w:r>
      <w:r w:rsidRPr="008A398E">
        <w:rPr>
          <w:rFonts w:ascii="Arial" w:hAnsi="Arial" w:cs="Arial"/>
          <w:b/>
        </w:rPr>
        <w:t>Sayı:</w:t>
      </w:r>
      <w:r w:rsidRPr="008A398E">
        <w:rPr>
          <w:rFonts w:ascii="Arial" w:hAnsi="Arial" w:cs="Arial"/>
        </w:rPr>
        <w:t>201</w:t>
      </w:r>
      <w:r>
        <w:rPr>
          <w:rFonts w:ascii="Arial" w:hAnsi="Arial" w:cs="Arial"/>
        </w:rPr>
        <w:t>9/</w:t>
      </w:r>
      <w:r>
        <w:rPr>
          <w:rFonts w:ascii="Arial" w:hAnsi="Arial" w:cs="Arial"/>
          <w:b/>
        </w:rPr>
        <w:t>11</w:t>
      </w:r>
      <w:r w:rsidRPr="00EB0DA4">
        <w:rPr>
          <w:rFonts w:ascii="Arial" w:hAnsi="Arial" w:cs="Arial"/>
          <w:b/>
        </w:rPr>
        <w:tab/>
      </w:r>
      <w:r w:rsidRPr="008A398E">
        <w:rPr>
          <w:rFonts w:ascii="Arial" w:hAnsi="Arial" w:cs="Arial"/>
          <w:b/>
        </w:rPr>
        <w:tab/>
      </w:r>
      <w:r w:rsidRPr="008A398E">
        <w:rPr>
          <w:rFonts w:ascii="Arial" w:hAnsi="Arial" w:cs="Arial"/>
          <w:b/>
        </w:rPr>
        <w:tab/>
      </w:r>
      <w:r>
        <w:rPr>
          <w:rFonts w:ascii="Arial" w:hAnsi="Arial" w:cs="Arial"/>
          <w:b/>
        </w:rPr>
        <w:tab/>
      </w:r>
      <w:r w:rsidRPr="008A398E">
        <w:rPr>
          <w:rFonts w:ascii="Arial" w:hAnsi="Arial" w:cs="Arial"/>
          <w:b/>
        </w:rPr>
        <w:tab/>
      </w:r>
      <w:r>
        <w:rPr>
          <w:rFonts w:ascii="Arial" w:hAnsi="Arial" w:cs="Arial"/>
          <w:b/>
        </w:rPr>
        <w:t xml:space="preserve">   </w:t>
      </w:r>
      <w:r w:rsidRPr="008A398E">
        <w:rPr>
          <w:rFonts w:ascii="Arial" w:hAnsi="Arial" w:cs="Arial"/>
          <w:b/>
        </w:rPr>
        <w:tab/>
      </w:r>
      <w:r>
        <w:rPr>
          <w:rFonts w:ascii="Arial" w:hAnsi="Arial" w:cs="Arial"/>
          <w:b/>
        </w:rPr>
        <w:t xml:space="preserve">        </w:t>
      </w:r>
      <w:r w:rsidRPr="008A398E">
        <w:rPr>
          <w:rFonts w:ascii="Arial" w:hAnsi="Arial" w:cs="Arial"/>
          <w:b/>
        </w:rPr>
        <w:t>İstanbul</w:t>
      </w:r>
      <w:r>
        <w:rPr>
          <w:rFonts w:ascii="Arial" w:hAnsi="Arial" w:cs="Arial"/>
        </w:rPr>
        <w:t>,31.01.2019</w:t>
      </w:r>
    </w:p>
    <w:p w:rsidR="00A24A73" w:rsidRDefault="00A24A73" w:rsidP="00C05F41">
      <w:pPr>
        <w:ind w:left="708"/>
        <w:jc w:val="center"/>
        <w:rPr>
          <w:b/>
          <w:sz w:val="24"/>
          <w:szCs w:val="24"/>
        </w:rPr>
      </w:pPr>
    </w:p>
    <w:p w:rsidR="00A56B80" w:rsidRPr="00C05F41" w:rsidRDefault="008D546B" w:rsidP="00C05F41">
      <w:pPr>
        <w:ind w:left="708"/>
        <w:jc w:val="center"/>
        <w:rPr>
          <w:b/>
          <w:sz w:val="24"/>
          <w:szCs w:val="24"/>
        </w:rPr>
      </w:pPr>
      <w:r w:rsidRPr="00C05F41">
        <w:rPr>
          <w:b/>
          <w:sz w:val="24"/>
          <w:szCs w:val="24"/>
        </w:rPr>
        <w:t>GELİR VERGİSİ KANUNU İLE BAZI KANUNLARDA DEĞİŞİKLİK YAPILMASINA DAİR KANUN YÜRÜRLÜĞE GİRDİ</w:t>
      </w:r>
    </w:p>
    <w:p w:rsidR="008D546B" w:rsidRDefault="008D546B" w:rsidP="00C05F41">
      <w:pPr>
        <w:ind w:left="708"/>
        <w:jc w:val="both"/>
      </w:pPr>
      <w:r>
        <w:t xml:space="preserve">30.01.2019 </w:t>
      </w:r>
      <w:r w:rsidR="00E20E00">
        <w:t>tarih ve</w:t>
      </w:r>
      <w:r>
        <w:t xml:space="preserve"> 30671 Sayılı Resmi Gazetede yayımlanan 7162 sayılı Gelir Vergisi ile Bazı Kanunlarda Değişiklik Yapılamasına Dair Kanun ile Vergi Kanunları ve çalışma mevzuatında değişiklikler yapılmıştır. Buna göre; </w:t>
      </w:r>
    </w:p>
    <w:p w:rsidR="008D546B" w:rsidRPr="00C05F41" w:rsidRDefault="008D546B" w:rsidP="00C05F41">
      <w:pPr>
        <w:ind w:left="708"/>
        <w:jc w:val="both"/>
        <w:rPr>
          <w:b/>
        </w:rPr>
      </w:pPr>
      <w:r w:rsidRPr="00C05F41">
        <w:rPr>
          <w:b/>
        </w:rPr>
        <w:t>1. Gelir Vergisi Kanununda Yapılan Değişiklikler;</w:t>
      </w:r>
    </w:p>
    <w:p w:rsidR="00B413FD" w:rsidRDefault="008D546B" w:rsidP="005C0D40">
      <w:pPr>
        <w:pStyle w:val="ListeParagraf"/>
        <w:numPr>
          <w:ilvl w:val="0"/>
          <w:numId w:val="7"/>
        </w:numPr>
        <w:jc w:val="both"/>
      </w:pPr>
      <w:r>
        <w:t>7162 Sayılı Kanunun 1’inci maddesi ile Gelir Vergisi Kanununun 9’uncu maddesinde değişiklik yapılarak maddede sayılan işler</w:t>
      </w:r>
      <w:r w:rsidR="00E20E00">
        <w:t>le ilgili olarak,</w:t>
      </w:r>
      <w:r>
        <w:t xml:space="preserve"> yıl içinde gerçekleşen satış tutarı asgari ücretin yıllık brüt tutarını </w:t>
      </w:r>
      <w:r w:rsidR="00B413FD">
        <w:t xml:space="preserve">aşmayan internet ve benzeri elektronik ortamda yapılan satışlarında esnaf muaflığından faydalanmasına </w:t>
      </w:r>
      <w:r w:rsidR="00282D73">
        <w:t>imkân</w:t>
      </w:r>
      <w:r w:rsidR="00B413FD">
        <w:t xml:space="preserve"> tanınmıştır.</w:t>
      </w:r>
    </w:p>
    <w:p w:rsidR="00B413FD" w:rsidRDefault="00B413FD" w:rsidP="00FA322D">
      <w:pPr>
        <w:pStyle w:val="ListeParagraf"/>
        <w:jc w:val="both"/>
      </w:pPr>
    </w:p>
    <w:p w:rsidR="00B413FD" w:rsidRDefault="00B413FD" w:rsidP="005C0D40">
      <w:pPr>
        <w:pStyle w:val="ListeParagraf"/>
        <w:numPr>
          <w:ilvl w:val="0"/>
          <w:numId w:val="7"/>
        </w:numPr>
        <w:jc w:val="both"/>
      </w:pPr>
      <w:r>
        <w:t xml:space="preserve">7162 Sayılı Kanunun 2’nci maddesiyle Gelir Vergisi Kanununun 25’inci maddesinin (1) numaralı bendi değiştirilerek ölüm, engellilik, hastalık ve işsizlik sebebiyle (işe başlatmama tazminatı </w:t>
      </w:r>
      <w:r w:rsidR="00282D73">
        <w:t>dâhil</w:t>
      </w:r>
      <w:r>
        <w:t>) verilen tazminat ve yardımlar</w:t>
      </w:r>
      <w:r w:rsidR="00E20E00">
        <w:t>a</w:t>
      </w:r>
      <w:r>
        <w:t xml:space="preserve"> 4447 sayılı İşsizlik Sigortası Kanununa göre ödenen tazminatlar da ekle</w:t>
      </w:r>
      <w:r w:rsidR="00E20E00">
        <w:t xml:space="preserve">nerek </w:t>
      </w:r>
      <w:r>
        <w:t>vergiden istisna edilmiştir.</w:t>
      </w:r>
    </w:p>
    <w:p w:rsidR="00B413FD" w:rsidRDefault="00B413FD" w:rsidP="00FA322D">
      <w:pPr>
        <w:pStyle w:val="ListeParagraf"/>
        <w:jc w:val="both"/>
      </w:pPr>
    </w:p>
    <w:p w:rsidR="00B413FD" w:rsidRDefault="00B413FD" w:rsidP="005C0D40">
      <w:pPr>
        <w:pStyle w:val="ListeParagraf"/>
        <w:numPr>
          <w:ilvl w:val="0"/>
          <w:numId w:val="7"/>
        </w:numPr>
        <w:jc w:val="both"/>
      </w:pPr>
      <w:proofErr w:type="gramStart"/>
      <w:r>
        <w:t xml:space="preserve">7162 Sayılı Kanunun 3’üncü maddesiyle Gelir Vergisi Kanununun mükerrer 121’inci </w:t>
      </w:r>
      <w:r w:rsidR="00940E3D">
        <w:t xml:space="preserve">maddesi değiştirilerek ticari, zirai ve mesleki faaliyetleri nedeniyle gelir vergisi mükellefi </w:t>
      </w:r>
      <w:r w:rsidR="00E20E00">
        <w:t xml:space="preserve">olanlar </w:t>
      </w:r>
      <w:r w:rsidR="00940E3D">
        <w:t>ile kurumlar vergisi mükelleflerinin %5 yıllık vergi indiriminden yararlanmaları için vergi ödemelerinde 10 TL’ den fazla eksik ödeme olmaması şartı 250 TL’ ye çıkarılmış, ayrıca tecil edilen vergilerde tecil şartlarının gerçekleşme</w:t>
      </w:r>
      <w:r w:rsidR="00E20E00">
        <w:t>me</w:t>
      </w:r>
      <w:r w:rsidR="00940E3D">
        <w:t>si halinde tecili istenilen verginin tecil süresinin sonundan itibaren 15 gün içinde ödenmesi halinde %5 indirimden yararlanma şartı ihlal edilmiş sayılmayacaktır.</w:t>
      </w:r>
      <w:proofErr w:type="gramEnd"/>
    </w:p>
    <w:p w:rsidR="00940E3D" w:rsidRDefault="00940E3D" w:rsidP="00FA322D">
      <w:pPr>
        <w:pStyle w:val="ListeParagraf"/>
        <w:jc w:val="both"/>
      </w:pPr>
    </w:p>
    <w:p w:rsidR="0025583C" w:rsidRDefault="00940E3D" w:rsidP="0025583C">
      <w:pPr>
        <w:pStyle w:val="ListeParagraf"/>
        <w:numPr>
          <w:ilvl w:val="0"/>
          <w:numId w:val="7"/>
        </w:numPr>
        <w:spacing w:line="240" w:lineRule="auto"/>
        <w:jc w:val="both"/>
      </w:pPr>
      <w:r>
        <w:t>7162 Sayılı Kanunun 4’üncü maddesiyle Gelir Vergisi Kanununa eklenen Geçici 89’uncu madde hükmüne göre, 27.03.2018 tarihinden önce karşılıklı sonlandırma veya ikale sözleşmesi</w:t>
      </w:r>
      <w:r w:rsidR="00E20E00">
        <w:t xml:space="preserve"> kapsamında ödenen tazminatlar ile </w:t>
      </w:r>
      <w:r>
        <w:t>iş güvencesi tazminatları gibi ödemelerden kesilen gelir vergileri red ve iade edilecektir. Bu ödemeler</w:t>
      </w:r>
      <w:r w:rsidR="00FD2B15">
        <w:t xml:space="preserve"> 27.03.2018 tarihinden itibaren</w:t>
      </w:r>
      <w:r>
        <w:t xml:space="preserve"> 7103 sayılı Kanunla Gelir Vergisi Kanunu değiştirilerek </w:t>
      </w:r>
      <w:r w:rsidR="00536F91">
        <w:t>ücret sayılmış, kıdem tazminatı tavanı ile kıyaslanarak kısmen vergiden istisna edilmiştir. Uy</w:t>
      </w:r>
      <w:r w:rsidR="00E20E00">
        <w:t>gulama usul ve esasları Hazine v</w:t>
      </w:r>
      <w:r w:rsidR="00536F91">
        <w:t>e Maliye Bakanlığınca belirlenecektir.</w:t>
      </w:r>
    </w:p>
    <w:p w:rsidR="00C05F41" w:rsidRPr="00C05F41" w:rsidRDefault="00536F91" w:rsidP="00C05F41">
      <w:pPr>
        <w:ind w:firstLine="708"/>
        <w:jc w:val="both"/>
        <w:rPr>
          <w:b/>
        </w:rPr>
      </w:pPr>
      <w:r w:rsidRPr="00C05F41">
        <w:rPr>
          <w:b/>
        </w:rPr>
        <w:t xml:space="preserve">2. </w:t>
      </w:r>
      <w:r w:rsidR="00FA322D" w:rsidRPr="00C05F41">
        <w:rPr>
          <w:b/>
        </w:rPr>
        <w:t xml:space="preserve"> Belediye Gelirleri </w:t>
      </w:r>
      <w:r w:rsidR="00C05F41" w:rsidRPr="00C05F41">
        <w:rPr>
          <w:b/>
        </w:rPr>
        <w:t>Kanununda Yapılan Değişiklikler;</w:t>
      </w:r>
    </w:p>
    <w:p w:rsidR="00282D73" w:rsidRDefault="00C05F41" w:rsidP="00C05F41">
      <w:pPr>
        <w:pStyle w:val="ListeParagraf"/>
        <w:jc w:val="both"/>
      </w:pPr>
      <w:r>
        <w:t>7162 Sayılı Kanunun 5’inci maddesiyle Belediye Gelirleri Kanununun Eğlence Vergisiyle ilgili 21’inci maddesindeki Bakanlık yetkisine “elektronik belg</w:t>
      </w:r>
      <w:r w:rsidR="00E20E00">
        <w:t>e düzenlemek” le ilgili teknik ilave</w:t>
      </w:r>
      <w:r>
        <w:t xml:space="preserve"> yapılmıştır</w:t>
      </w:r>
      <w:r w:rsidR="001020AF">
        <w:t>.</w:t>
      </w:r>
    </w:p>
    <w:p w:rsidR="00C05F41" w:rsidRPr="00C05F41" w:rsidRDefault="00C05F41" w:rsidP="00C05F41">
      <w:pPr>
        <w:ind w:firstLine="708"/>
        <w:jc w:val="both"/>
        <w:rPr>
          <w:b/>
        </w:rPr>
      </w:pPr>
      <w:r w:rsidRPr="00C05F41">
        <w:rPr>
          <w:b/>
        </w:rPr>
        <w:t>3.  Katma Değer Vergisi Kanununda Yapılan Değişiklikler;</w:t>
      </w:r>
    </w:p>
    <w:p w:rsidR="005C0D40" w:rsidRDefault="005C0D40" w:rsidP="00C05F41">
      <w:pPr>
        <w:pStyle w:val="ListeParagraf"/>
        <w:ind w:left="708"/>
        <w:jc w:val="both"/>
      </w:pPr>
      <w:proofErr w:type="gramStart"/>
      <w:r>
        <w:t>7162 Sayılı Kanunun 6’ncı maddesiyle Katma Değer Vergisi Kanununa geçici 40’ıncı</w:t>
      </w:r>
      <w:r w:rsidR="00E20E00">
        <w:t xml:space="preserve"> madde</w:t>
      </w:r>
      <w:r>
        <w:t xml:space="preserve"> eklenerek, 2019 UEFA Süper Kupa Finali ile 2020 UEFA Şampiyonlar Ligi Finaline ilişkin katılımcı futbol kulüpleri ve organizasyonda görevli tüzel kişilerden işyeri, kanuni ve iş merkezi Türkiye ‘ de bulunmayanlara yapılacak teslim ve hizmetler ile bunların bu müsabakalar dolayısıyla </w:t>
      </w:r>
      <w:r>
        <w:lastRenderedPageBreak/>
        <w:t xml:space="preserve">yapacakları teslim ve hizmetler KDV’den istisna edilmiştir. </w:t>
      </w:r>
      <w:proofErr w:type="gramEnd"/>
      <w:r>
        <w:t xml:space="preserve">Bu istisna dolayısıyla yüklenilen vergilerin iadesi mümkün olup uygulama usul ve esasları </w:t>
      </w:r>
      <w:r w:rsidR="00C05F41">
        <w:t>Bakanlıkça belirlen</w:t>
      </w:r>
      <w:r w:rsidR="00E20E00">
        <w:t>ecektir</w:t>
      </w:r>
      <w:r w:rsidR="00C05F41">
        <w:t>.</w:t>
      </w:r>
    </w:p>
    <w:p w:rsidR="001020AF" w:rsidRDefault="00C05F41" w:rsidP="001020AF">
      <w:pPr>
        <w:ind w:left="708"/>
        <w:jc w:val="both"/>
        <w:rPr>
          <w:b/>
        </w:rPr>
      </w:pPr>
      <w:r w:rsidRPr="00C05F41">
        <w:rPr>
          <w:b/>
        </w:rPr>
        <w:t>4. Sosyal Sigortalar Ve Genel Sağlık Sigortası Kanununda Yapılan Değişiklik</w:t>
      </w:r>
      <w:r>
        <w:rPr>
          <w:b/>
        </w:rPr>
        <w:t>ler</w:t>
      </w:r>
      <w:r w:rsidRPr="00C05F41">
        <w:rPr>
          <w:b/>
        </w:rPr>
        <w:t>;</w:t>
      </w:r>
    </w:p>
    <w:p w:rsidR="00C05F41" w:rsidRDefault="00C05F41" w:rsidP="001020AF">
      <w:pPr>
        <w:ind w:left="708"/>
        <w:jc w:val="both"/>
      </w:pPr>
      <w:r>
        <w:t xml:space="preserve">7162 Sayılı </w:t>
      </w:r>
      <w:r w:rsidR="001020AF">
        <w:t>Kanunun 10’uncu maddesiyle 5510 sayılı Sosyal Sigortalar ve Genel Sağlık Sigortası Kanununa geçici 78’inci madde eklenmiştir. Kanunun 4’üncü maddesinin (a) bendi kapsamında hizmet akdiyle uzun vadeli sigorta hükümleri uygulanan sigortalıları çalıştıran işverenlere 201</w:t>
      </w:r>
      <w:r w:rsidR="00282D73">
        <w:t>9 yılında günlük kazancı 102 TL</w:t>
      </w:r>
      <w:r w:rsidR="001020AF">
        <w:t>‘yi geçmeyenlerin prim ödeme g</w:t>
      </w:r>
      <w:r w:rsidR="00FD2B15">
        <w:t>ün sayılarına gör</w:t>
      </w:r>
      <w:bookmarkStart w:id="0" w:name="_GoBack"/>
      <w:bookmarkEnd w:id="0"/>
      <w:r w:rsidR="00FD2B15">
        <w:t>e,</w:t>
      </w:r>
      <w:r w:rsidR="001020AF">
        <w:t xml:space="preserve"> sigortalı s</w:t>
      </w:r>
      <w:r w:rsidR="00E20E00">
        <w:t>ayısı 500 ‘ün altında olanlarda</w:t>
      </w:r>
      <w:r w:rsidR="001020AF">
        <w:t xml:space="preserve"> </w:t>
      </w:r>
      <w:r w:rsidR="00E20E00">
        <w:t>5 TL, 500’ ün üstünde olanlarda</w:t>
      </w:r>
      <w:r w:rsidR="001020AF">
        <w:t xml:space="preserve"> 3,36 TL destek sağlanarak bu tutarlar ödenecek s</w:t>
      </w:r>
      <w:r w:rsidR="00FD2B15">
        <w:t xml:space="preserve">igorta priminden mahsup edilerek </w:t>
      </w:r>
      <w:r w:rsidR="001020AF">
        <w:t>İşsizlik Sigortası fonundan karşılanacaktır. Uygulama ve yararlanma şartları maddede detaylı bir şekild</w:t>
      </w:r>
      <w:r w:rsidR="00282D73">
        <w:t>e belirtilmiştir. Günlük 102 TL</w:t>
      </w:r>
      <w:r w:rsidR="00E8144C">
        <w:t>’lik</w:t>
      </w:r>
      <w:r w:rsidR="001020AF">
        <w:t xml:space="preserve"> sınır 6356 sayılı Sendikalar ve Toplu İş Sözleşmesi Kanununa göre toplu iş sözleşmesine tabi özel sektör işverenlerine ait işyerleri için 203 TL olarak uygulanacaktır.</w:t>
      </w:r>
    </w:p>
    <w:p w:rsidR="001020AF" w:rsidRDefault="001020AF" w:rsidP="001020AF">
      <w:pPr>
        <w:ind w:left="708"/>
        <w:jc w:val="both"/>
        <w:rPr>
          <w:b/>
        </w:rPr>
      </w:pPr>
      <w:r w:rsidRPr="00282D73">
        <w:rPr>
          <w:b/>
        </w:rPr>
        <w:t xml:space="preserve">5. </w:t>
      </w:r>
      <w:r w:rsidR="00282D73" w:rsidRPr="00282D73">
        <w:rPr>
          <w:b/>
        </w:rPr>
        <w:t>Kurumlar Vergisi Kanunda Yapılan Değişiklikler;</w:t>
      </w:r>
    </w:p>
    <w:p w:rsidR="00CE55F9" w:rsidRPr="00CE55F9" w:rsidRDefault="001430FA" w:rsidP="00CE55F9">
      <w:pPr>
        <w:pStyle w:val="ListeParagraf"/>
        <w:numPr>
          <w:ilvl w:val="0"/>
          <w:numId w:val="14"/>
        </w:numPr>
        <w:jc w:val="both"/>
        <w:rPr>
          <w:b/>
        </w:rPr>
      </w:pPr>
      <w:r>
        <w:t>7162 Sayılı Kanunun 11’inci maddesiyle Kurumlar Vergisi Kanununun “</w:t>
      </w:r>
      <w:r w:rsidR="00782A4D">
        <w:t>Sınai</w:t>
      </w:r>
      <w:r>
        <w:t xml:space="preserve"> Mülkiyet Haklarında İstisna” başlıklı 5/B maddesinde </w:t>
      </w:r>
      <w:r w:rsidR="00CE55F9">
        <w:t>teknik ibare değişiklikleri yapılmıştır.</w:t>
      </w:r>
    </w:p>
    <w:p w:rsidR="00CE55F9" w:rsidRPr="00CE55F9" w:rsidRDefault="00CE55F9" w:rsidP="00CE55F9">
      <w:pPr>
        <w:pStyle w:val="ListeParagraf"/>
        <w:ind w:left="765"/>
        <w:jc w:val="both"/>
        <w:rPr>
          <w:b/>
        </w:rPr>
      </w:pPr>
    </w:p>
    <w:p w:rsidR="00CE55F9" w:rsidRPr="00CE55F9" w:rsidRDefault="00CE55F9" w:rsidP="00CE55F9">
      <w:pPr>
        <w:pStyle w:val="ListeParagraf"/>
        <w:numPr>
          <w:ilvl w:val="0"/>
          <w:numId w:val="14"/>
        </w:numPr>
        <w:jc w:val="both"/>
        <w:rPr>
          <w:b/>
        </w:rPr>
      </w:pPr>
      <w:r>
        <w:t>7162 Sayılı Kanunun 12’nci maddesi ile Kurumlar Vergisi Kanununa Geçici 11’inci madde eklenerek, 2019 UEFA Süper Kupa Finali ile 2020 UEFA Şampiyonlar Ligi Finali müsabakalarının Türkiye’de oynanmasına ilişkin olarak Türkiye’de elde ettikleri kazançlar dolayısıyla UEFA katılımcı futbol kulüpleri ve organizasyonda görevli tüzel kişilerden işyeri, kanuni ve iş merkezi Türkiye’de bulunmayanlar gelir ve kurumlar vergisi ile tevkif yoluyla alınan vergilerden muaf tutulmuşlardır.</w:t>
      </w:r>
    </w:p>
    <w:p w:rsidR="00CE55F9" w:rsidRPr="00CE55F9" w:rsidRDefault="00CE55F9" w:rsidP="00CE55F9">
      <w:pPr>
        <w:pStyle w:val="ListeParagraf"/>
        <w:rPr>
          <w:b/>
        </w:rPr>
      </w:pPr>
    </w:p>
    <w:p w:rsidR="00CE55F9" w:rsidRDefault="00CE55F9" w:rsidP="00CE55F9">
      <w:pPr>
        <w:pStyle w:val="ListeParagraf"/>
        <w:ind w:left="765"/>
        <w:jc w:val="both"/>
        <w:rPr>
          <w:b/>
        </w:rPr>
      </w:pPr>
      <w:r>
        <w:rPr>
          <w:b/>
        </w:rPr>
        <w:t>6. Diğer Kanunlarda Yapılan Değişiklikler</w:t>
      </w:r>
    </w:p>
    <w:p w:rsidR="00CE55F9" w:rsidRDefault="00CE55F9" w:rsidP="00CE55F9">
      <w:pPr>
        <w:pStyle w:val="ListeParagraf"/>
        <w:ind w:left="765"/>
        <w:jc w:val="both"/>
        <w:rPr>
          <w:b/>
        </w:rPr>
      </w:pPr>
    </w:p>
    <w:p w:rsidR="00CE55F9" w:rsidRPr="00CE55F9" w:rsidRDefault="00CE55F9" w:rsidP="00CE55F9">
      <w:pPr>
        <w:pStyle w:val="ListeParagraf"/>
        <w:ind w:left="765"/>
        <w:jc w:val="both"/>
      </w:pPr>
      <w:r>
        <w:t>7162 Sayılı Kanunla, 3621 sayılı Kı</w:t>
      </w:r>
      <w:r w:rsidR="00E8144C">
        <w:t>yı Kanunu, 3264 sayılı Kanun</w:t>
      </w:r>
      <w:r>
        <w:t>, 5307 sayılı Kanun, 5978</w:t>
      </w:r>
      <w:r w:rsidR="00E8144C">
        <w:t xml:space="preserve"> sayılı Kanun</w:t>
      </w:r>
      <w:r>
        <w:t xml:space="preserve"> ve 6446 sayılı Elektrik Piyasası Kanununda da değişiklikler yapılmıştır.</w:t>
      </w:r>
    </w:p>
    <w:p w:rsidR="00B56E06" w:rsidRDefault="00B56E06" w:rsidP="00B56E06">
      <w:pPr>
        <w:pStyle w:val="Altyaz"/>
        <w:spacing w:after="0"/>
        <w:jc w:val="right"/>
        <w:rPr>
          <w:rFonts w:asciiTheme="minorHAnsi" w:eastAsiaTheme="minorHAnsi" w:hAnsiTheme="minorHAnsi" w:cstheme="minorBidi"/>
          <w:b/>
          <w:sz w:val="22"/>
          <w:szCs w:val="22"/>
          <w:lang w:eastAsia="en-US"/>
        </w:rPr>
      </w:pPr>
    </w:p>
    <w:p w:rsidR="00B56E06" w:rsidRPr="00B56E06" w:rsidRDefault="00B56E06" w:rsidP="001F45F9">
      <w:pPr>
        <w:rPr>
          <w:rFonts w:ascii="Times New Roman" w:hAnsi="Times New Roman" w:cs="Times New Roman"/>
          <w:i/>
          <w:sz w:val="18"/>
          <w:szCs w:val="18"/>
        </w:rPr>
      </w:pPr>
      <w:r>
        <w:tab/>
      </w:r>
      <w:r>
        <w:tab/>
      </w:r>
      <w:r>
        <w:tab/>
      </w:r>
      <w:r w:rsidR="001F45F9">
        <w:t xml:space="preserve">            </w:t>
      </w:r>
      <w:r w:rsidRPr="00B56E06">
        <w:rPr>
          <w:rFonts w:ascii="Times New Roman" w:hAnsi="Times New Roman" w:cs="Times New Roman"/>
          <w:i/>
          <w:sz w:val="18"/>
          <w:szCs w:val="18"/>
        </w:rPr>
        <w:t xml:space="preserve">AKTÜEL </w:t>
      </w:r>
      <w:r w:rsidR="001F45F9">
        <w:rPr>
          <w:rFonts w:ascii="Times New Roman" w:hAnsi="Times New Roman" w:cs="Times New Roman"/>
          <w:i/>
          <w:sz w:val="18"/>
          <w:szCs w:val="18"/>
        </w:rPr>
        <w:t>BAĞIMSIZ DENETİM VE YEMİNLİ MALİ</w:t>
      </w:r>
      <w:r w:rsidRPr="00B56E06">
        <w:rPr>
          <w:rFonts w:ascii="Times New Roman" w:hAnsi="Times New Roman" w:cs="Times New Roman"/>
          <w:i/>
          <w:sz w:val="18"/>
          <w:szCs w:val="18"/>
        </w:rPr>
        <w:t xml:space="preserve"> MÜŞAVİRLİK HİZMETLERİ A.Ş.</w:t>
      </w:r>
      <w:r w:rsidR="001F45F9">
        <w:rPr>
          <w:rFonts w:ascii="Times New Roman" w:hAnsi="Times New Roman" w:cs="Times New Roman"/>
          <w:i/>
          <w:sz w:val="18"/>
          <w:szCs w:val="18"/>
        </w:rPr>
        <w:t xml:space="preserve">      </w:t>
      </w:r>
    </w:p>
    <w:p w:rsidR="00B56E06" w:rsidRPr="00B56E06" w:rsidRDefault="00B56E06" w:rsidP="00B56E06">
      <w:r>
        <w:tab/>
      </w:r>
      <w:r>
        <w:tab/>
      </w:r>
    </w:p>
    <w:p w:rsidR="00B56E06" w:rsidRDefault="00B56E06" w:rsidP="00B56E06">
      <w:pPr>
        <w:ind w:right="-288"/>
        <w:jc w:val="both"/>
        <w:rPr>
          <w:rFonts w:ascii="Arial" w:hAnsi="Arial" w:cs="Arial"/>
        </w:rPr>
      </w:pPr>
    </w:p>
    <w:p w:rsidR="00B56E06" w:rsidRDefault="00B56E06" w:rsidP="00C05F41">
      <w:pPr>
        <w:jc w:val="both"/>
        <w:rPr>
          <w:b/>
        </w:rPr>
      </w:pPr>
    </w:p>
    <w:p w:rsidR="00C05F41" w:rsidRPr="00C05F41" w:rsidRDefault="00C05F41" w:rsidP="00C05F41">
      <w:pPr>
        <w:jc w:val="both"/>
      </w:pPr>
      <w:r>
        <w:tab/>
        <w:t xml:space="preserve">  </w:t>
      </w:r>
    </w:p>
    <w:p w:rsidR="00C05F41" w:rsidRPr="00C05F41" w:rsidRDefault="00C05F41" w:rsidP="00C05F41">
      <w:pPr>
        <w:jc w:val="both"/>
      </w:pPr>
    </w:p>
    <w:p w:rsidR="00C05F41" w:rsidRDefault="00C05F41" w:rsidP="00C05F41">
      <w:pPr>
        <w:pStyle w:val="ListeParagraf"/>
        <w:ind w:left="825"/>
        <w:jc w:val="both"/>
      </w:pPr>
    </w:p>
    <w:p w:rsidR="00C05F41" w:rsidRDefault="00C05F41" w:rsidP="00C05F41">
      <w:pPr>
        <w:jc w:val="both"/>
      </w:pPr>
    </w:p>
    <w:p w:rsidR="00C05F41" w:rsidRPr="008D546B" w:rsidRDefault="00C05F41" w:rsidP="00C05F41">
      <w:pPr>
        <w:pStyle w:val="ListeParagraf"/>
        <w:ind w:left="825"/>
        <w:jc w:val="both"/>
      </w:pPr>
    </w:p>
    <w:sectPr w:rsidR="00C05F41" w:rsidRPr="008D546B" w:rsidSect="00782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333C2"/>
    <w:multiLevelType w:val="hybridMultilevel"/>
    <w:tmpl w:val="91E0CBEA"/>
    <w:lvl w:ilvl="0" w:tplc="041F0005">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cs="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cs="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cs="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 w15:restartNumberingAfterBreak="0">
    <w:nsid w:val="0D262E73"/>
    <w:multiLevelType w:val="hybridMultilevel"/>
    <w:tmpl w:val="5B729AEA"/>
    <w:lvl w:ilvl="0" w:tplc="070465B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5039A2"/>
    <w:multiLevelType w:val="hybridMultilevel"/>
    <w:tmpl w:val="8F6813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E4C7062"/>
    <w:multiLevelType w:val="hybridMultilevel"/>
    <w:tmpl w:val="439C0BA6"/>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3F702D8"/>
    <w:multiLevelType w:val="hybridMultilevel"/>
    <w:tmpl w:val="9AFAE1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030277"/>
    <w:multiLevelType w:val="hybridMultilevel"/>
    <w:tmpl w:val="1D2C826E"/>
    <w:lvl w:ilvl="0" w:tplc="77AC92C6">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EA2C26"/>
    <w:multiLevelType w:val="hybridMultilevel"/>
    <w:tmpl w:val="EFBA58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C27993"/>
    <w:multiLevelType w:val="hybridMultilevel"/>
    <w:tmpl w:val="9DA0B41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122315F"/>
    <w:multiLevelType w:val="hybridMultilevel"/>
    <w:tmpl w:val="68D89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77664EC"/>
    <w:multiLevelType w:val="hybridMultilevel"/>
    <w:tmpl w:val="EE00FF1C"/>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6CFB2CF7"/>
    <w:multiLevelType w:val="hybridMultilevel"/>
    <w:tmpl w:val="710A10FA"/>
    <w:lvl w:ilvl="0" w:tplc="041F0005">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74D4276C"/>
    <w:multiLevelType w:val="hybridMultilevel"/>
    <w:tmpl w:val="66CC2FC6"/>
    <w:lvl w:ilvl="0" w:tplc="918078CA">
      <w:start w:val="1"/>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7F704D09"/>
    <w:multiLevelType w:val="hybridMultilevel"/>
    <w:tmpl w:val="0D860A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E53CCC"/>
    <w:multiLevelType w:val="hybridMultilevel"/>
    <w:tmpl w:val="4C54C150"/>
    <w:lvl w:ilvl="0" w:tplc="070465B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13"/>
  </w:num>
  <w:num w:numId="5">
    <w:abstractNumId w:val="11"/>
  </w:num>
  <w:num w:numId="6">
    <w:abstractNumId w:val="5"/>
  </w:num>
  <w:num w:numId="7">
    <w:abstractNumId w:val="7"/>
  </w:num>
  <w:num w:numId="8">
    <w:abstractNumId w:val="0"/>
  </w:num>
  <w:num w:numId="9">
    <w:abstractNumId w:val="12"/>
  </w:num>
  <w:num w:numId="10">
    <w:abstractNumId w:val="6"/>
  </w:num>
  <w:num w:numId="11">
    <w:abstractNumId w:val="4"/>
  </w:num>
  <w:num w:numId="12">
    <w:abstractNumId w:val="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4"/>
    <w:rsid w:val="001020AF"/>
    <w:rsid w:val="001430FA"/>
    <w:rsid w:val="001F45F9"/>
    <w:rsid w:val="0025583C"/>
    <w:rsid w:val="00282D73"/>
    <w:rsid w:val="003251A4"/>
    <w:rsid w:val="00536F91"/>
    <w:rsid w:val="005C0D40"/>
    <w:rsid w:val="00666CED"/>
    <w:rsid w:val="006A5314"/>
    <w:rsid w:val="00782A4D"/>
    <w:rsid w:val="008D546B"/>
    <w:rsid w:val="00940E3D"/>
    <w:rsid w:val="00A24A73"/>
    <w:rsid w:val="00A56B80"/>
    <w:rsid w:val="00B413FD"/>
    <w:rsid w:val="00B56E06"/>
    <w:rsid w:val="00C05F41"/>
    <w:rsid w:val="00CE55F9"/>
    <w:rsid w:val="00E20E00"/>
    <w:rsid w:val="00E8144C"/>
    <w:rsid w:val="00FA322D"/>
    <w:rsid w:val="00FD2B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F1BC5-4B7F-42FF-9768-077CA6A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546B"/>
    <w:pPr>
      <w:ind w:left="720"/>
      <w:contextualSpacing/>
    </w:pPr>
  </w:style>
  <w:style w:type="paragraph" w:styleId="Altyaz">
    <w:name w:val="Subtitle"/>
    <w:basedOn w:val="Normal"/>
    <w:next w:val="Normal"/>
    <w:link w:val="AltyazChar"/>
    <w:qFormat/>
    <w:rsid w:val="00B56E06"/>
    <w:pPr>
      <w:spacing w:after="60" w:line="240" w:lineRule="auto"/>
      <w:jc w:val="center"/>
      <w:outlineLvl w:val="1"/>
    </w:pPr>
    <w:rPr>
      <w:rFonts w:ascii="Calibri Light" w:eastAsia="Times New Roman" w:hAnsi="Calibri Light" w:cs="Times New Roman"/>
      <w:sz w:val="24"/>
      <w:szCs w:val="24"/>
      <w:lang w:eastAsia="tr-TR"/>
    </w:rPr>
  </w:style>
  <w:style w:type="character" w:customStyle="1" w:styleId="AltyazChar">
    <w:name w:val="Altyazı Char"/>
    <w:basedOn w:val="VarsaylanParagrafYazTipi"/>
    <w:link w:val="Altyaz"/>
    <w:rsid w:val="00B56E06"/>
    <w:rPr>
      <w:rFonts w:ascii="Calibri Light" w:eastAsia="Times New Roman" w:hAnsi="Calibri Light" w:cs="Times New Roman"/>
      <w:sz w:val="24"/>
      <w:szCs w:val="24"/>
      <w:lang w:eastAsia="tr-TR"/>
    </w:rPr>
  </w:style>
  <w:style w:type="paragraph" w:styleId="BalonMetni">
    <w:name w:val="Balloon Text"/>
    <w:basedOn w:val="Normal"/>
    <w:link w:val="BalonMetniChar"/>
    <w:uiPriority w:val="99"/>
    <w:semiHidden/>
    <w:unhideWhenUsed/>
    <w:rsid w:val="00FD2B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2B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D765-14D6-4184-9192-5D234AB7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749</Words>
  <Characters>4275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dayioglu1 dayioglu1</cp:lastModifiedBy>
  <cp:revision>7</cp:revision>
  <cp:lastPrinted>2019-01-31T13:46:00Z</cp:lastPrinted>
  <dcterms:created xsi:type="dcterms:W3CDTF">2019-01-31T11:04:00Z</dcterms:created>
  <dcterms:modified xsi:type="dcterms:W3CDTF">2019-01-31T14:02:00Z</dcterms:modified>
</cp:coreProperties>
</file>