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9E" w:rsidRDefault="0041719E" w:rsidP="0041719E">
      <w:pPr>
        <w:ind w:right="-309"/>
        <w:jc w:val="center"/>
        <w:rPr>
          <w:rFonts w:ascii="Arial" w:hAnsi="Arial" w:cs="Arial"/>
          <w:b/>
        </w:rPr>
      </w:pPr>
      <w:r>
        <w:rPr>
          <w:rFonts w:ascii="Arial" w:hAnsi="Arial" w:cs="Arial"/>
          <w:b/>
        </w:rPr>
        <w:t>SİRKÜLER</w:t>
      </w:r>
    </w:p>
    <w:p w:rsidR="0041719E" w:rsidRDefault="0041719E" w:rsidP="0041719E">
      <w:pPr>
        <w:ind w:right="-309"/>
        <w:jc w:val="both"/>
        <w:rPr>
          <w:rFonts w:ascii="Arial" w:hAnsi="Arial" w:cs="Arial"/>
        </w:rPr>
      </w:pPr>
      <w:r>
        <w:rPr>
          <w:rFonts w:ascii="Arial" w:hAnsi="Arial" w:cs="Arial"/>
          <w:b/>
        </w:rPr>
        <w:t>Sayı:</w:t>
      </w:r>
      <w:r>
        <w:rPr>
          <w:rFonts w:ascii="Arial" w:hAnsi="Arial" w:cs="Arial"/>
        </w:rPr>
        <w:t>2019/</w:t>
      </w:r>
      <w:r w:rsidR="006A3185">
        <w:rPr>
          <w:rFonts w:ascii="Arial" w:hAnsi="Arial" w:cs="Arial"/>
        </w:rPr>
        <w:t>40</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İstanbul</w:t>
      </w:r>
      <w:r>
        <w:rPr>
          <w:rFonts w:ascii="Arial" w:hAnsi="Arial" w:cs="Arial"/>
        </w:rPr>
        <w:t>,</w:t>
      </w:r>
      <w:r w:rsidR="006A3185">
        <w:rPr>
          <w:rFonts w:ascii="Arial" w:hAnsi="Arial" w:cs="Arial"/>
        </w:rPr>
        <w:t>17.12.</w:t>
      </w:r>
      <w:r>
        <w:rPr>
          <w:rFonts w:ascii="Arial" w:hAnsi="Arial" w:cs="Arial"/>
        </w:rPr>
        <w:t>2019</w:t>
      </w:r>
    </w:p>
    <w:p w:rsidR="0041719E" w:rsidRDefault="0041719E" w:rsidP="0041719E">
      <w:pPr>
        <w:jc w:val="both"/>
        <w:rPr>
          <w:rFonts w:ascii="Arial" w:hAnsi="Arial" w:cs="Arial"/>
          <w:b/>
          <w:bCs/>
        </w:rPr>
      </w:pPr>
    </w:p>
    <w:p w:rsidR="001F11E4" w:rsidRDefault="0041719E" w:rsidP="00C04EE3">
      <w:pPr>
        <w:jc w:val="both"/>
        <w:rPr>
          <w:rFonts w:ascii="Arial" w:eastAsia="Times New Roman" w:hAnsi="Arial" w:cs="Arial"/>
          <w:b/>
          <w:color w:val="111111"/>
          <w:kern w:val="36"/>
          <w:sz w:val="24"/>
          <w:szCs w:val="24"/>
          <w:lang w:eastAsia="tr-TR"/>
        </w:rPr>
      </w:pPr>
      <w:r w:rsidRPr="00C04EE3">
        <w:rPr>
          <w:rFonts w:ascii="Arial" w:eastAsia="Times New Roman" w:hAnsi="Arial" w:cs="Arial"/>
          <w:b/>
          <w:color w:val="111111"/>
          <w:kern w:val="36"/>
          <w:sz w:val="24"/>
          <w:szCs w:val="24"/>
          <w:lang w:eastAsia="tr-TR"/>
        </w:rPr>
        <w:t>01.01.2020 TARİHİNDEN İTİBAREN BANKALAR VASITASIYLA YAPILACAK</w:t>
      </w:r>
      <w:r w:rsidRPr="00C04EE3">
        <w:rPr>
          <w:rFonts w:ascii="Arial" w:eastAsia="Times New Roman" w:hAnsi="Arial" w:cs="Arial"/>
          <w:color w:val="111111"/>
          <w:kern w:val="36"/>
          <w:sz w:val="24"/>
          <w:szCs w:val="24"/>
          <w:lang w:eastAsia="tr-TR"/>
        </w:rPr>
        <w:t xml:space="preserve"> </w:t>
      </w:r>
      <w:r w:rsidR="00C04EE3" w:rsidRPr="00C04EE3">
        <w:rPr>
          <w:rFonts w:ascii="Arial" w:eastAsia="Times New Roman" w:hAnsi="Arial" w:cs="Arial"/>
          <w:b/>
          <w:color w:val="111111"/>
          <w:kern w:val="36"/>
          <w:sz w:val="24"/>
          <w:szCs w:val="24"/>
          <w:lang w:eastAsia="tr-TR"/>
        </w:rPr>
        <w:t>VERGİ TAHSİLATLARINA İLİŞKİN DUYURU</w:t>
      </w:r>
      <w:r w:rsidR="00C04EE3">
        <w:rPr>
          <w:rFonts w:ascii="Arial" w:eastAsia="Times New Roman" w:hAnsi="Arial" w:cs="Arial"/>
          <w:b/>
          <w:color w:val="111111"/>
          <w:kern w:val="36"/>
          <w:sz w:val="24"/>
          <w:szCs w:val="24"/>
          <w:lang w:eastAsia="tr-TR"/>
        </w:rPr>
        <w:t>:</w:t>
      </w:r>
    </w:p>
    <w:p w:rsidR="00C04EE3" w:rsidRDefault="00C04EE3" w:rsidP="00C04EE3">
      <w:pPr>
        <w:jc w:val="both"/>
        <w:rPr>
          <w:rFonts w:ascii="Arial" w:eastAsia="Times New Roman" w:hAnsi="Arial" w:cs="Arial"/>
          <w:b/>
          <w:color w:val="111111"/>
          <w:kern w:val="36"/>
          <w:sz w:val="24"/>
          <w:szCs w:val="24"/>
          <w:lang w:eastAsia="tr-TR"/>
        </w:rPr>
      </w:pPr>
    </w:p>
    <w:p w:rsidR="00C04EE3" w:rsidRPr="006A3185" w:rsidRDefault="00C04EE3" w:rsidP="006A3185">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6183 sayılı Amme Alacaklarının Tahsil Usulü Hakkında Kanunun 41 inci maddesi ile Bakanlığımıza verilen yetkiye dayanılarak bankalarla imzalanan vergi tahsilat protokollerinde, 01.01.2020 tarihinden geçerli olmak üzere aşağıda belirtilen değişiklikler yapılmıştır.  </w:t>
      </w:r>
    </w:p>
    <w:p w:rsidR="00C04EE3" w:rsidRPr="006A3185" w:rsidRDefault="00C04EE3" w:rsidP="006A3185">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Vergi dairesi müdürlüklerince takip ve tahsilatı yapılmakta olan vergi, harç, ceza ve diğer alacakların vergi daireleri vezneleri haricinde,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T.C. Ziraat Bankası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Türkiye Halk Bankası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Türkiye Vakıflar Bankası T.A.O.</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Ziraat Katılım Bankası A.Ş.</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Vakıf Katılım Bankası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Türkiye Emlak Katılım Bankası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Posta ve Telgraf Teşkilatı A.Ş.  (PTT)</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proofErr w:type="gramStart"/>
      <w:r w:rsidRPr="006A3185">
        <w:rPr>
          <w:rFonts w:ascii="Arial" w:eastAsia="Times New Roman" w:hAnsi="Arial" w:cs="Arial"/>
          <w:color w:val="000000" w:themeColor="text1"/>
          <w:lang w:eastAsia="tr-TR"/>
        </w:rPr>
        <w:t>vasıtasıyla</w:t>
      </w:r>
      <w:proofErr w:type="gramEnd"/>
      <w:r w:rsidRPr="006A3185">
        <w:rPr>
          <w:rFonts w:ascii="Arial" w:eastAsia="Times New Roman" w:hAnsi="Arial" w:cs="Arial"/>
          <w:color w:val="000000" w:themeColor="text1"/>
          <w:lang w:eastAsia="tr-TR"/>
        </w:rPr>
        <w:t xml:space="preserve"> tahsiline devam edilecektir.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Bu bankalar dışındaki diğer bankalar tarafından nakden, hesaptan, çekle, banka kartı, havale ve EFT yoluyla tahsilat yapılmayacaktır.</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xml:space="preserve">Ancak, kredi kartı ile tahsilat yapılması uygun bulunan; gelir vergisi (gayrimenkul/menkul sermaye iradı, ücret, diğer kazanç ve iratlardan kaynaklı gelir vergisi), motorlu taşıtlar vergisi, trafik idari para cezası, Karayolları Taşıma Kanunu idari para cezası, geçiş ücreti ve idari para cezası, diğer idari para cezaları, mali yapılandırma kanunları (6736, 7020, 7143 gibi), 6183 sayılı Kanun kapsamında taksitlendirilmiş borçlar,  tapu harcı, yolcu beraberinde getirilen telefon kullanım izin harcı, öğrenim kredisi ve katkı kredi borçları, pasaport harcı ve değerli </w:t>
      </w:r>
      <w:proofErr w:type="gramStart"/>
      <w:r w:rsidRPr="006A3185">
        <w:rPr>
          <w:rFonts w:ascii="Arial" w:eastAsia="Times New Roman" w:hAnsi="Arial" w:cs="Arial"/>
          <w:color w:val="000000" w:themeColor="text1"/>
          <w:lang w:eastAsia="tr-TR"/>
        </w:rPr>
        <w:t>kağıt</w:t>
      </w:r>
      <w:proofErr w:type="gramEnd"/>
      <w:r w:rsidRPr="006A3185">
        <w:rPr>
          <w:rFonts w:ascii="Arial" w:eastAsia="Times New Roman" w:hAnsi="Arial" w:cs="Arial"/>
          <w:color w:val="000000" w:themeColor="text1"/>
          <w:lang w:eastAsia="tr-TR"/>
        </w:rPr>
        <w:t xml:space="preserve"> bedeli,  sürücü belgesi harcı ve değerli kağıt bedeli, T.C. kimlik kartı bedeli, yurt dışına çıkış harcı, Göç İdaresi ikamet harcı, ikamet tezkeresi defter satış bedeli, tek giriş vize harcı, </w:t>
      </w:r>
      <w:proofErr w:type="spellStart"/>
      <w:r w:rsidRPr="006A3185">
        <w:rPr>
          <w:rFonts w:ascii="Arial" w:eastAsia="Times New Roman" w:hAnsi="Arial" w:cs="Arial"/>
          <w:color w:val="000000" w:themeColor="text1"/>
          <w:lang w:eastAsia="tr-TR"/>
        </w:rPr>
        <w:t>ecrimisil</w:t>
      </w:r>
      <w:proofErr w:type="spellEnd"/>
      <w:r w:rsidRPr="006A3185">
        <w:rPr>
          <w:rFonts w:ascii="Arial" w:eastAsia="Times New Roman" w:hAnsi="Arial" w:cs="Arial"/>
          <w:color w:val="000000" w:themeColor="text1"/>
          <w:lang w:eastAsia="tr-TR"/>
        </w:rPr>
        <w:t xml:space="preserve"> gelirleri, veraset ve intikal vergisi borçlarının, aşağıda unvanları belirtilen bankalar vasıtasıyla kredi kartı kullanılmak suretiyle tahsil edilmesine devam edilmektedir.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T.C. Ziraat Bankası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Türkiye Halk Bankası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Türkiye Vakıflar Bankası T.A.O.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lastRenderedPageBreak/>
        <w:t>• Türk Ekonomi Bankası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Akbank T.A.Ş.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Şekerbank T.A.Ş.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Türkiye Garanti Bankası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Türkiye İş Bankası A.Ş.</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Yapı ve Kredi Bankası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ING Bank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QNB Finansbank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HSBC Bank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w:t>
      </w:r>
      <w:proofErr w:type="spellStart"/>
      <w:r w:rsidRPr="006A3185">
        <w:rPr>
          <w:rFonts w:ascii="Arial" w:eastAsia="Times New Roman" w:hAnsi="Arial" w:cs="Arial"/>
          <w:color w:val="000000" w:themeColor="text1"/>
          <w:lang w:eastAsia="tr-TR"/>
        </w:rPr>
        <w:t>Alternatifbank</w:t>
      </w:r>
      <w:proofErr w:type="spellEnd"/>
      <w:r w:rsidRPr="006A3185">
        <w:rPr>
          <w:rFonts w:ascii="Arial" w:eastAsia="Times New Roman" w:hAnsi="Arial" w:cs="Arial"/>
          <w:color w:val="000000" w:themeColor="text1"/>
          <w:lang w:eastAsia="tr-TR"/>
        </w:rPr>
        <w:t xml:space="preserve">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Denizbank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Aktif Yatırım Bankası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w:t>
      </w:r>
      <w:proofErr w:type="spellStart"/>
      <w:r w:rsidRPr="006A3185">
        <w:rPr>
          <w:rFonts w:ascii="Arial" w:eastAsia="Times New Roman" w:hAnsi="Arial" w:cs="Arial"/>
          <w:color w:val="000000" w:themeColor="text1"/>
          <w:lang w:eastAsia="tr-TR"/>
        </w:rPr>
        <w:t>Odea</w:t>
      </w:r>
      <w:proofErr w:type="spellEnd"/>
      <w:r w:rsidRPr="006A3185">
        <w:rPr>
          <w:rFonts w:ascii="Arial" w:eastAsia="Times New Roman" w:hAnsi="Arial" w:cs="Arial"/>
          <w:color w:val="000000" w:themeColor="text1"/>
          <w:lang w:eastAsia="tr-TR"/>
        </w:rPr>
        <w:t xml:space="preserve"> Bank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Albaraka Türk Katılım Bankası A.Ş.</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Kuveyt Türk Katılım Bankası A.Ş.</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 Türkiye Finans Katılım Bankası A.Ş. </w:t>
      </w:r>
    </w:p>
    <w:p w:rsidR="00C04EE3" w:rsidRPr="006A3185" w:rsidRDefault="00C04EE3" w:rsidP="00C04EE3">
      <w:pPr>
        <w:shd w:val="clear" w:color="auto" w:fill="FFFFFF"/>
        <w:spacing w:after="300" w:line="240" w:lineRule="auto"/>
        <w:jc w:val="both"/>
        <w:rPr>
          <w:rFonts w:ascii="Arial" w:eastAsia="Times New Roman" w:hAnsi="Arial" w:cs="Arial"/>
          <w:color w:val="000000" w:themeColor="text1"/>
          <w:lang w:eastAsia="tr-TR"/>
        </w:rPr>
      </w:pPr>
      <w:r w:rsidRPr="006A3185">
        <w:rPr>
          <w:rFonts w:ascii="Arial" w:eastAsia="Times New Roman" w:hAnsi="Arial" w:cs="Arial"/>
          <w:color w:val="000000" w:themeColor="text1"/>
          <w:lang w:eastAsia="tr-TR"/>
        </w:rPr>
        <w:t>Kamuoyuna saygıyla duyurulur.</w:t>
      </w:r>
    </w:p>
    <w:p w:rsidR="00C04EE3" w:rsidRDefault="00C04EE3" w:rsidP="00C04EE3"/>
    <w:p w:rsidR="006A3185" w:rsidRDefault="009100B3" w:rsidP="006A3185">
      <w:pPr>
        <w:spacing w:after="0" w:line="240" w:lineRule="auto"/>
        <w:ind w:left="360"/>
        <w:jc w:val="both"/>
        <w:rPr>
          <w:rFonts w:ascii="Arial" w:hAnsi="Arial" w:cs="Arial"/>
          <w:sz w:val="20"/>
          <w:szCs w:val="20"/>
        </w:rPr>
      </w:pPr>
      <w:r>
        <w:rPr>
          <w:rFonts w:ascii="Arial" w:hAnsi="Arial" w:cs="Arial"/>
        </w:rPr>
        <w:t xml:space="preserve">             </w:t>
      </w:r>
      <w:r w:rsidR="006A3185">
        <w:rPr>
          <w:rFonts w:ascii="Arial" w:hAnsi="Arial" w:cs="Arial"/>
        </w:rPr>
        <w:t xml:space="preserve">                                                    </w:t>
      </w:r>
      <w:r>
        <w:rPr>
          <w:rFonts w:ascii="Arial" w:hAnsi="Arial" w:cs="Arial"/>
        </w:rPr>
        <w:t xml:space="preserve"> </w:t>
      </w:r>
      <w:r w:rsidR="006A3185">
        <w:rPr>
          <w:rFonts w:ascii="Arial" w:hAnsi="Arial" w:cs="Arial"/>
        </w:rPr>
        <w:t xml:space="preserve">             </w:t>
      </w:r>
      <w:r w:rsidRPr="006A3185">
        <w:rPr>
          <w:rFonts w:ascii="Arial" w:hAnsi="Arial" w:cs="Arial"/>
          <w:sz w:val="20"/>
          <w:szCs w:val="20"/>
        </w:rPr>
        <w:t>AKTÜEL BAĞIMSIZ DENETİM VE</w:t>
      </w:r>
      <w:r w:rsidR="006A3185">
        <w:rPr>
          <w:rFonts w:ascii="Arial" w:hAnsi="Arial" w:cs="Arial"/>
          <w:sz w:val="20"/>
          <w:szCs w:val="20"/>
        </w:rPr>
        <w:t xml:space="preserve">  </w:t>
      </w:r>
    </w:p>
    <w:p w:rsidR="009100B3" w:rsidRPr="006A3185" w:rsidRDefault="006A3185" w:rsidP="006A3185">
      <w:pPr>
        <w:spacing w:after="0" w:line="240" w:lineRule="auto"/>
        <w:ind w:left="360"/>
        <w:jc w:val="both"/>
        <w:rPr>
          <w:sz w:val="20"/>
          <w:szCs w:val="20"/>
        </w:rPr>
      </w:pPr>
      <w:r>
        <w:rPr>
          <w:rFonts w:ascii="Arial" w:hAnsi="Arial" w:cs="Arial"/>
          <w:sz w:val="20"/>
          <w:szCs w:val="20"/>
        </w:rPr>
        <w:t xml:space="preserve">                                                                                           </w:t>
      </w:r>
      <w:r w:rsidR="009100B3" w:rsidRPr="006A3185">
        <w:rPr>
          <w:rFonts w:ascii="Arial" w:hAnsi="Arial" w:cs="Arial"/>
          <w:sz w:val="20"/>
          <w:szCs w:val="20"/>
        </w:rPr>
        <w:t xml:space="preserve">YEMİNLİ MALİ MÜŞAVİRLİK </w:t>
      </w:r>
      <w:r w:rsidR="009100B3" w:rsidRPr="006A3185">
        <w:rPr>
          <w:rFonts w:ascii="Arial" w:hAnsi="Arial" w:cs="Arial"/>
          <w:sz w:val="20"/>
          <w:szCs w:val="20"/>
        </w:rPr>
        <w:tab/>
      </w:r>
      <w:r w:rsidR="009100B3" w:rsidRPr="006A3185">
        <w:rPr>
          <w:rFonts w:ascii="Arial" w:hAnsi="Arial" w:cs="Arial"/>
          <w:sz w:val="20"/>
          <w:szCs w:val="20"/>
        </w:rPr>
        <w:tab/>
      </w:r>
      <w:r w:rsidR="009100B3" w:rsidRPr="006A3185">
        <w:rPr>
          <w:rFonts w:ascii="Arial" w:hAnsi="Arial" w:cs="Arial"/>
          <w:sz w:val="20"/>
          <w:szCs w:val="20"/>
        </w:rPr>
        <w:tab/>
      </w:r>
      <w:r w:rsidR="009100B3" w:rsidRPr="006A3185">
        <w:rPr>
          <w:rFonts w:ascii="Arial" w:hAnsi="Arial" w:cs="Arial"/>
          <w:sz w:val="20"/>
          <w:szCs w:val="20"/>
        </w:rPr>
        <w:tab/>
      </w:r>
      <w:r w:rsidR="009100B3" w:rsidRPr="006A3185">
        <w:rPr>
          <w:rFonts w:ascii="Arial" w:hAnsi="Arial" w:cs="Arial"/>
          <w:sz w:val="20"/>
          <w:szCs w:val="20"/>
        </w:rPr>
        <w:tab/>
      </w:r>
      <w:r w:rsidR="009100B3" w:rsidRPr="006A3185">
        <w:rPr>
          <w:rFonts w:ascii="Arial" w:hAnsi="Arial" w:cs="Arial"/>
          <w:sz w:val="20"/>
          <w:szCs w:val="20"/>
        </w:rPr>
        <w:tab/>
      </w:r>
      <w:r w:rsidR="009100B3" w:rsidRPr="006A3185">
        <w:rPr>
          <w:rFonts w:ascii="Arial" w:hAnsi="Arial" w:cs="Arial"/>
          <w:sz w:val="20"/>
          <w:szCs w:val="20"/>
        </w:rPr>
        <w:tab/>
        <w:t xml:space="preserve">                             HİZMETLERİ A.Ş.</w:t>
      </w:r>
    </w:p>
    <w:p w:rsidR="00C04EE3" w:rsidRPr="00C04EE3" w:rsidRDefault="00C04EE3" w:rsidP="00C04EE3">
      <w:pPr>
        <w:jc w:val="both"/>
        <w:rPr>
          <w:b/>
          <w:sz w:val="24"/>
          <w:szCs w:val="24"/>
        </w:rPr>
      </w:pPr>
      <w:bookmarkStart w:id="0" w:name="_GoBack"/>
      <w:bookmarkEnd w:id="0"/>
    </w:p>
    <w:sectPr w:rsidR="00C04EE3" w:rsidRPr="00C04E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DD"/>
    <w:rsid w:val="000C00FD"/>
    <w:rsid w:val="001F11E4"/>
    <w:rsid w:val="0041719E"/>
    <w:rsid w:val="006A3185"/>
    <w:rsid w:val="009100B3"/>
    <w:rsid w:val="00C04EE3"/>
    <w:rsid w:val="00DF388F"/>
    <w:rsid w:val="00E221DD"/>
    <w:rsid w:val="00EC6C6B"/>
    <w:rsid w:val="00FB57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EEF5B-3DC7-41B8-8B74-A2329FAD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2328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dayioglu1 dayioglu1</dc:creator>
  <cp:keywords/>
  <dc:description/>
  <cp:lastModifiedBy>dayioglu1 dayioglu1</cp:lastModifiedBy>
  <cp:revision>6</cp:revision>
  <dcterms:created xsi:type="dcterms:W3CDTF">2019-12-17T11:26:00Z</dcterms:created>
  <dcterms:modified xsi:type="dcterms:W3CDTF">2019-12-17T11:41:00Z</dcterms:modified>
</cp:coreProperties>
</file>